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Сердечно-сосудистая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19:42 МСК · База обновлена: 27.08.2026, 19:36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Сердечно-сосудистая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63 лет госпитализирована в больницу по направлению из поликлиники по месту жительства для дообследования.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момент госпитализации нет.</w:t>
      </w:r>
    </w:p>
    <w:p>
      <w:pPr>
        <w:spacing w:after="58"/>
      </w:pPr>
      <w:r>
        <w:rPr>
          <w:b w:val="0"/>
          <w:i w:val="0"/>
        </w:rPr>
        <w:t>На протяжении последних двух дней на эпизодический дискомфорт в грудной клетке без чёткой иррадиации на фоне физической нагрузки (стирка, уборка квартиры), сопровождающийся одышкой и страхом смерти.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Ранее боли в области сердца не беспокоили. Наблюдалась у кардиолога по месту жительства по поводу гипертонической болезни и сахарного диабета, с соответствующим эффективным медикаментозным лечением. Со слов пациента, неделю назад заболела ОРВИ, лечилась самостоятельно с выздоровлением на 4-ые сутки. Три дня назад утром во время уборки квартиры возник эпизод выраженного дискомфорта и жжения в груди без четкой иррадиации, который купировался самостоятельно спустя 15-20 минут. Далее подобные эпизоды повторялись 1-2 раза в день до обращения к кардиологу по месту жительства. Во время госпитализации в клинику и осмотра, пациент отмечает возобновление вышеописанной клиники.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сахарный диабет;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* по профессии - учитель;</w:t>
      </w:r>
    </w:p>
    <w:p>
      <w:pPr>
        <w:spacing w:after="58"/>
      </w:pPr>
      <w:r>
        <w:rPr>
          <w:b w:val="0"/>
          <w:i w:val="0"/>
        </w:rPr>
        <w:t>* аллергических реакций не было;</w:t>
      </w:r>
    </w:p>
    <w:p>
      <w:pPr>
        <w:spacing w:after="58"/>
      </w:pPr>
      <w:r>
        <w:rPr>
          <w:b w:val="0"/>
          <w:i w:val="0"/>
        </w:rPr>
        <w:t>* отец умер от онкологии в возрасте 65 лет, мать жива, страдает ГБ и сахарным диабетом 2 типа.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Сознание ясное. Положение активное. Телосложение нормостеническое: рост 165 см, вес 68 кг. Кожные покровы телесного цвета, умеренной влажности. Дыхание везикулярное, ЧДД 19 в 1 мин. Тоны сердца ритмичные, ЧСС – 85 в 1 минуту. АД 140/90 мм рт. ст. При аускультации сердца патологических шумов нет. Живот при пальпации безболезненный. Размеры печени по Курлову 10-9-8. Отеков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круг дифференциального диагноза у данного пациента входят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гипертонический криз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острое нарушение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плеврит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коронарный синдром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острый коронарный синдром</w:t>
      </w:r>
    </w:p>
    <w:p>
      <w:pPr>
        <w:spacing w:after="58"/>
      </w:pPr>
      <w:r>
        <w:rPr>
          <w:b w:val="0"/>
          <w:i w:val="0"/>
        </w:rPr>
        <w:t>Несмотря на атипичность описываемых жалоб, при наличии дискомфорта/боли в области груди необходимо исключать острый коронарный синдром в первую очередь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в данной ситуации инструментальным методом исследования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ЭКГ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фиброгастродуоденоскопия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мультиспиральная компьютерная томографии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регистрация ЭКГ в 12 отведениях</w:t>
      </w:r>
    </w:p>
    <w:p>
      <w:pPr>
        <w:spacing w:after="58"/>
      </w:pPr>
      <w:r>
        <w:rPr>
          <w:b w:val="0"/>
          <w:i w:val="0"/>
        </w:rPr>
        <w:t>Учитывая наличия рецидива стенокардии при госпитализации и подозрения на острый коронарный синдром, рекомендуется немедленная регистрация ЭКГ как минимум в 12 отведениях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необходимым для постановки диагноза лабораторным методам исследования относятся определение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креатинфосфокиназы (КФК)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миоглобина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тропонина T или I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тропонина T или I</w:t>
      </w:r>
    </w:p>
    <w:p>
      <w:pPr>
        <w:spacing w:after="58"/>
      </w:pPr>
      <w:r>
        <w:rPr>
          <w:b w:val="0"/>
          <w:i w:val="0"/>
        </w:rPr>
        <w:t>Рекомендуется определение уровня биохимических маркеров повреждения кардиомиоцитов в крови, предпочтительно сердечного тропонина Т или I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Окончательным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Циркулярный острый 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передний 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перикардит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Нестабильная стенокардия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Нестабильная стенокардия</w:t>
      </w:r>
    </w:p>
    <w:p>
      <w:pPr>
        <w:spacing w:after="58"/>
      </w:pPr>
      <w:r>
        <w:rPr>
          <w:b w:val="0"/>
          <w:i w:val="0"/>
        </w:rPr>
        <w:t>Диагноз нестабильная стенокардия устанавливается на основании впервые возникшей клиники стенокардии с затяжным (&gt;20 минут) ангинозным приступом, отрицательного результата на Тропонин, данных физикального осмотра, наличия характерных ишемических изменений на ЭКГ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Предпочтительной стратегией ведения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транспортировка в рентген-операционную для коронарографии (КАГ) с возможной одномоментной реваскуляризацией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проведение фармакологических нагрузочных тестов для верификации ишемии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тромболизис с последующей оценкой его эффективности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перевод в отделение ОРИТ и синдромальная терапия (купирование боли, антикоагуляция, кислородотерапия)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транспортировка в рентген-операционную для коронарографии (КАГ) с возможной одномоментной реваскуляризацией</w:t>
      </w:r>
    </w:p>
    <w:p>
      <w:pPr>
        <w:spacing w:after="58"/>
      </w:pPr>
      <w:r>
        <w:rPr>
          <w:b w:val="0"/>
          <w:i w:val="0"/>
        </w:rPr>
        <w:t>Наличие рецидивирующего ангинозного приступа у пациента с нестабильной стенокардией является одним из критериев высокого ишемического риска и показанием для экстренной коронарографии (КАГ)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проведенной КАГ выявлен правый тип кровоснабжения миокарда, стеноз тела ствола левой коронарной артерии (СтЛКА) 80%, стеноз в ср/3 правой коронарной артерии (ПКА) 60% выраженный спазм коронарных артерий (частичное купирование на фоне интракоронарного введения раствора папаверина), дальнейшей предпочтительной тактикой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реваскуляризация миокарда методом АКШ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реваскуляризация миокарда методом ЧКВ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измерение фракционного резерва кровотока и определение показаний к реваскуляризации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расчет значения SYNTAX score для выбора метода реваскуляризации миокарда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реваскуляризация миокарда методом ЧКВ</w:t>
      </w:r>
    </w:p>
    <w:p>
      <w:pPr>
        <w:spacing w:after="58"/>
      </w:pPr>
      <w:r>
        <w:rPr>
          <w:b w:val="0"/>
          <w:i w:val="0"/>
        </w:rPr>
        <w:t>У больных с ОКСбпST и признаками очень высокого риска неблагоприятного исхода рекомендовано проведение КАГ в пределах 2 ч от поступления с намерением выполнить реваскуляризацию миокарда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Предпочтительным объемом реваскуляризации миокарда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стентирование правой коронарной и ствола левой коронарной артерий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баллонная ангиопластика правой коронарной артерии и стентирование ствола левой коронарной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аортокоронарное шунтирование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стентирование ствола левой коронарной артерии (СтЛКА)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стентирование ствола левой коронарной артерии (СтЛКА)</w:t>
      </w:r>
    </w:p>
    <w:p>
      <w:pPr>
        <w:spacing w:after="58"/>
      </w:pPr>
      <w:r>
        <w:rPr>
          <w:b w:val="0"/>
          <w:i w:val="0"/>
        </w:rPr>
        <w:t>Учитывая характерные для СтЛКА изменения на ЭКГ и стабильное состояние пациента, при определении объема реваскуляризации следует ограничиваться симптом-связанной артерией.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При имплантации стента с лекарственным покрытием ствола левой коронарной артерии у данного пациента рекомендуется использовать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двойную антиагрегатную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антитромботическую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антикоагулянтную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комбинированную антигипертензивную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двойную антиагрегатную</w:t>
      </w:r>
    </w:p>
    <w:p>
      <w:pPr>
        <w:spacing w:after="58"/>
      </w:pPr>
      <w:r>
        <w:rPr>
          <w:b w:val="0"/>
          <w:i w:val="0"/>
        </w:rPr>
        <w:t>Пациентам, которым проведено стентирование необходимо назначение двойной антиагрегантной терапии в течение 12 месяцев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Чрескожное коронарное вешательство на стволе левой коронарной артерии предпочтительно сопровождать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внутривенным ввдением ингибиторов GP IIb/IIIa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внутрисосудистой визуализацией (внутрисосудистый ультразвук)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установкой баллонного контрпульсатора в нисходящей аорте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измерением фракционного резерва кровотока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внутрисосудистой визуализацией (внутрисосудистый ультразвук)</w:t>
      </w:r>
    </w:p>
    <w:p>
      <w:pPr>
        <w:spacing w:after="58"/>
      </w:pPr>
      <w:r>
        <w:rPr>
          <w:b w:val="0"/>
          <w:i w:val="0"/>
        </w:rPr>
        <w:t>ВСУЗИ следует использовать для оптимизации лечения незащищенных повреждений ствола ЛКА (IIa B)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Чрескожное коронарное вмешательство на правой коронарной артерии следующим этапом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рекомендуется независимо от клиники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рекомендуется независимо от клиники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рекомендуется при сохранении клиники стенокардии независимо от результатов нагрузочных тестов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рекомендуется при сохранении клиники стенокардии и доказанной гемодинамической значимости стеноза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рекомендуется при сохранении клиники стенокардии и доказанной гемодинамической значимости стеноза</w:t>
      </w:r>
    </w:p>
    <w:p>
      <w:pPr>
        <w:spacing w:after="58"/>
      </w:pPr>
      <w:r>
        <w:rPr>
          <w:b w:val="0"/>
          <w:i w:val="0"/>
        </w:rPr>
        <w:t>Учитывая однососудистый характер стеноза ПКА и степень стенозирования менее 90%, реваскуляризация методом стентирования может быть рекомендована при сохранении клиники стенокардии на фоне оптимальной медикаментозной терапии при доказанной гемодинамической значимости стеноза (ФРС менее 0,8 и/или объем ишемии миокарда более 10%)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Данному пациенту должна быть назначена </w:t>
      </w:r>
      <w:r>
        <w:rPr>
          <w:b w:val="0"/>
          <w:i w:val="0"/>
        </w:rPr>
        <w:t>______________________</w:t>
      </w:r>
      <w:r>
        <w:rPr>
          <w:b w:val="0"/>
          <w:i w:val="0"/>
        </w:rPr>
        <w:t xml:space="preserve">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антитромботическая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двойная дезагрегантная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тромболитическая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антикоагулянтная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двойная дезагрегантная</w:t>
      </w:r>
    </w:p>
    <w:p>
      <w:pPr>
        <w:spacing w:after="58"/>
      </w:pPr>
      <w:r>
        <w:rPr>
          <w:b w:val="0"/>
          <w:i w:val="0"/>
        </w:rPr>
        <w:t>У всех пациентов с ОКСбПST после ЧКВ на симптом-связанной артерии двойная дезагрегантная терапия назначается на 12 месяцев.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Двойная дезагрегантная терапия у данного пациента должна быть назначена на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(количество месяцев)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2 - 12</w:t>
      </w:r>
    </w:p>
    <w:p>
      <w:pPr>
        <w:spacing w:after="58"/>
      </w:pPr>
      <w:r>
        <w:rPr>
          <w:b w:val="0"/>
          <w:i w:val="0"/>
        </w:rPr>
        <w:t>У всех пациентов с ОКСбПST после ЧКВ на симптом-связанной артерии двойная дезагрегантная терапия назначается на 12 месяцев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Острый инфаркт миокарда с подъемом сегмента ST электрокардиограммы,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Сердечно-сосудистая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50 лет, обратилась на консультацию к кардиологу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редкий пульс до 35-38/мин, сопровождающийся головокружением и слабостью.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в течение 2 месяцев, когда после перенесенной ОРВИ, стала отмечать появление выраженной слабости и головокружения. Состояние связывала с последствиями ОРВИ, за медицинской помощью не обращалась. В динамике стала отмечать появление одышки при небольшой физической нагрузке, эпизодов потемнения в глазах при вертикализации. По совету подруги приобрела электронный тонометр, при использовании которого обратила внимание на постоянно редкий пульс в пределах 36-38/мин на фоне повышенных цифр АД до 180/100 мм рт.ст. Амбулаторно выполнила суточное мониторирование ЭКГ, после чего обратилась на консультацию к аритмологу.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 наличие хронических заболеваний отрицает;</w:t>
      </w:r>
    </w:p>
    <w:p>
      <w:pPr>
        <w:spacing w:after="58"/>
      </w:pPr>
      <w:r>
        <w:rPr>
          <w:b w:val="0"/>
          <w:i w:val="0"/>
        </w:rPr>
        <w:t>• не курит, алкоголем не злоупотребляет;</w:t>
      </w:r>
    </w:p>
    <w:p>
      <w:pPr>
        <w:spacing w:after="58"/>
      </w:pPr>
      <w:r>
        <w:rPr>
          <w:b w:val="0"/>
          <w:i w:val="0"/>
        </w:rPr>
        <w:t>• травм и операций не было;</w:t>
      </w:r>
    </w:p>
    <w:p>
      <w:pPr>
        <w:spacing w:after="58"/>
      </w:pPr>
      <w:r>
        <w:rPr>
          <w:b w:val="0"/>
          <w:i w:val="0"/>
        </w:rPr>
        <w:t>•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• аллергических реакций не было;</w:t>
      </w:r>
    </w:p>
    <w:p>
      <w:pPr>
        <w:spacing w:after="58"/>
      </w:pPr>
      <w:r>
        <w:rPr>
          <w:b w:val="0"/>
          <w:i w:val="0"/>
        </w:rPr>
        <w:t>• наследственный анамнез по сердечно-сосудистой патологии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степени тяжести. Кожные покровы бледной окраски, умеренной влажности. Дыхание везикулярное, проводится над всеми отделами, хрипов нет. ЧДД 18/мин. Тоны сердца приглушены, ритмичные. ЧСС 36 уд/мин, пульс 36 уд/мин, АД 160/90 мм.рт.ст. Шумы отчетливо не выслушиваются. Живот мягкий, безболезненный при пальпации во всех отделах. Печень не увеличена.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калия и креатинина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показатели билирубина и трансаминаз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тропонина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общий холестерин и его фракции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тиреоидных гормонов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уровень калия и креатинина крови</w:t>
      </w:r>
      <w:r>
        <w:br/>
      </w:r>
      <w:r>
        <w:rPr>
          <w:b/>
          <w:i w:val="0"/>
        </w:rPr>
        <w:t>3 - уровень тропонина крови</w:t>
      </w:r>
      <w:r>
        <w:br/>
      </w:r>
      <w:r>
        <w:rPr>
          <w:b/>
          <w:i w:val="0"/>
        </w:rPr>
        <w:t>6 - уровень тиреоидных гормонов</w:t>
      </w:r>
    </w:p>
    <w:p>
      <w:pPr>
        <w:spacing w:after="58"/>
      </w:pPr>
      <w:r>
        <w:rPr>
          <w:b w:val="0"/>
          <w:i w:val="0"/>
        </w:rPr>
        <w:t>Рекомендуется проведение общеклинического обследования для диагностики основного заболевания, вызвавшего БА, с особым вниманием к выявлению преходящих, обратимых, причин БА, в том числе определяемых проводимым лечением.</w:t>
      </w:r>
    </w:p>
    <w:p>
      <w:pPr>
        <w:spacing w:after="58"/>
      </w:pPr>
      <w:r>
        <w:rPr>
          <w:b w:val="0"/>
          <w:i w:val="0"/>
        </w:rPr>
        <w:t>Гиперкалиемия на фоне ХБП может быть причиной брадикардии.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исключения активного миокардита показано определение уровня тропонина крови.</w:t>
      </w:r>
    </w:p>
    <w:p>
      <w:pPr>
        <w:spacing w:after="58"/>
      </w:pPr>
      <w:r>
        <w:rPr>
          <w:b w:val="0"/>
          <w:i w:val="0"/>
        </w:rPr>
        <w:t>Всем пациентам с клиническим подозрением на миокардит рекомендуется определение тропонинов T и I.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Минздрава России. Миокардиты, 2025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проведение общеклинического обследования для диагностики основного заболевания, вызвавшего БА, с особым вниманием к выявлению преходящих, обратимых, причин БА, в том числе определяемых проводимым лечением.</w:t>
      </w:r>
    </w:p>
    <w:p>
      <w:pPr>
        <w:spacing w:after="58"/>
      </w:pPr>
      <w:r>
        <w:rPr>
          <w:b w:val="0"/>
          <w:i w:val="0"/>
        </w:rPr>
        <w:t>Гипотиреоз может быть одной из причин развития синусовой брадикардии.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суточное мониторирование ЭКГ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брахиоцефальных артерий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сцинтиграфия миокарда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ЭКГ в 12 отведениях на амбулаторном приёме аритмолога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суточное мониторирование ЭКГ</w:t>
      </w:r>
      <w:r>
        <w:br/>
      </w:r>
      <w:r>
        <w:rPr>
          <w:b/>
          <w:i w:val="0"/>
        </w:rPr>
        <w:t>5 - регистрация ЭКГ в 12 отведениях на амбулаторном приёме аритмолога</w:t>
      </w:r>
    </w:p>
    <w:p>
      <w:pPr>
        <w:spacing w:after="58"/>
      </w:pPr>
      <w:r>
        <w:rPr>
          <w:b w:val="0"/>
          <w:i w:val="0"/>
        </w:rPr>
        <w:t>Для выявления БА и выполнения клинико-электрокардиографической корреляции, выявления сопутствующих нарушений ритма, а также для оценки хронотропной функции сердца, рекомендуется проведение длительного мониторирования ЭКГ.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во всех случаях подозрения на БА регистрировать стандартную ЭКГ в 12 отведениях.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Анализируя полученные данные,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Атриовентрикулярная блокада 3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Атриовентрикулярная блокада 1 степени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Атриовентрикулярная блокада 2 степени типа 2:1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Синоатриальная блокада 2 степени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Атриовентрикулярная блокада 2 степени типа 2:1</w:t>
      </w:r>
    </w:p>
    <w:p>
      <w:pPr>
        <w:spacing w:after="58"/>
      </w:pPr>
      <w:r>
        <w:rPr>
          <w:b w:val="0"/>
          <w:i w:val="0"/>
        </w:rPr>
        <w:t>По степени выраженности нарушений различают:</w:t>
      </w:r>
    </w:p>
    <w:p>
      <w:pPr>
        <w:spacing w:after="58"/>
      </w:pPr>
      <w:r>
        <w:rPr>
          <w:b w:val="0"/>
          <w:i w:val="0"/>
        </w:rPr>
        <w:t>ПЖБ I степени — замедление проведения импульса от предсердий к желудочкам с проведением каждого импульса;</w:t>
      </w:r>
    </w:p>
    <w:p>
      <w:pPr>
        <w:spacing w:after="58"/>
      </w:pPr>
      <w:r>
        <w:rPr>
          <w:b w:val="0"/>
          <w:i w:val="0"/>
        </w:rPr>
        <w:t>ПЖБ II степени - периодические прерывания проведения предсердных импульсов на желудочки.</w:t>
      </w:r>
    </w:p>
    <w:p>
      <w:pPr>
        <w:spacing w:after="58"/>
      </w:pPr>
      <w:r>
        <w:rPr>
          <w:b w:val="0"/>
          <w:i w:val="0"/>
        </w:rPr>
        <w:t>Она имеет три разновидности:</w:t>
      </w:r>
    </w:p>
    <w:p>
      <w:pPr>
        <w:spacing w:after="58"/>
      </w:pPr>
      <w:r>
        <w:rPr>
          <w:b w:val="0"/>
          <w:i w:val="0"/>
        </w:rPr>
        <w:t>Мобитц тип I — блокирование импульса с предшествующим прогрессивным замедлением проведения от предсердий к желудочкам (периодика Венкебаха);</w:t>
      </w:r>
    </w:p>
    <w:p>
      <w:pPr>
        <w:spacing w:after="58"/>
      </w:pPr>
      <w:r>
        <w:rPr>
          <w:b w:val="0"/>
          <w:i w:val="0"/>
        </w:rPr>
        <w:t>Мобитц тип II — блокирование импульса без предшествующего удлинения времени предсердно-желудочкового проведения;</w:t>
      </w:r>
    </w:p>
    <w:p>
      <w:pPr>
        <w:spacing w:after="58"/>
      </w:pPr>
      <w:r>
        <w:rPr>
          <w:b w:val="0"/>
          <w:i w:val="0"/>
        </w:rPr>
        <w:t>Далекозашедшая ПЖБ II степени — блокирование каждого второго или нескольких подряд предсердных импульсов.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Разновидности АВ-блокады 2 степени включают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внутрижелудочковую блокаду и арборизационную блокаду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мобитц-I, мобитц-II и далекозашедшую АВ-блокаду 2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блокаду правой ножки пучка Гиса и блокаду левой ножки пучка Гиса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Фредерика и приступы Морганьи-Адамса-Стокса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мобитц-I, мобитц-II и далекозашедшую АВ-блокаду 2 степени</w:t>
      </w:r>
    </w:p>
    <w:p>
      <w:pPr>
        <w:spacing w:after="58"/>
      </w:pPr>
      <w:r>
        <w:rPr>
          <w:b w:val="0"/>
          <w:i w:val="0"/>
        </w:rPr>
        <w:t>АВ-блокада 2 степени имеет 3 разновидности:</w:t>
      </w:r>
    </w:p>
    <w:p>
      <w:pPr>
        <w:spacing w:after="58"/>
      </w:pPr>
      <w:r>
        <w:rPr>
          <w:b w:val="0"/>
          <w:i w:val="0"/>
        </w:rPr>
        <w:t>Мобитц тип I — блокирование импульса с предшествующим прогрессивным замедлением проведения от предсердий к желудочкам (периодика Венкебаха);</w:t>
      </w:r>
    </w:p>
    <w:p>
      <w:pPr>
        <w:spacing w:after="58"/>
      </w:pPr>
      <w:r>
        <w:rPr>
          <w:b w:val="0"/>
          <w:i w:val="0"/>
        </w:rPr>
        <w:t>Мобитц тип II — блокирование импульса без предшествующего удлинения времени предсердно-желудочкового проведения;</w:t>
      </w:r>
    </w:p>
    <w:p>
      <w:pPr>
        <w:spacing w:after="58"/>
      </w:pPr>
      <w:r>
        <w:rPr>
          <w:b w:val="0"/>
          <w:i w:val="0"/>
        </w:rPr>
        <w:t>Далекозашедшая ПЖБ II степени — блокирование каждого второго или нескольких подряд предсердных импульсов.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Пациентке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плановая госпитализация в стационар по месту жительства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медикаментозная терапия с целью коррекции нарушений ритма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госпитализация бригадой СМП в ближайший стационар для дообследования и решения вопроса об установке временного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госпитализация в дневной стационар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госпитализация бригадой СМП в ближайший стационар для дообследования и решения вопроса об установке временного ЭКС</w:t>
      </w:r>
    </w:p>
    <w:p>
      <w:pPr>
        <w:spacing w:after="58"/>
      </w:pPr>
      <w:r>
        <w:rPr>
          <w:b w:val="0"/>
          <w:i w:val="0"/>
        </w:rPr>
        <w:t>У пациентки имеется гемодинамически значимая брадикардия, на фоне атриовентрикулярной блокады 2 степени, которая может привести к тяжелым жизнеугрожающим осложнениям на фоне отсутствия специфического лечения. В большинстве случаев таковым будет являться установка временного ЭКС в условиях стационара. Дообследование необходимо для исключения обратимых причин АВ-блокады.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исключении обратимых причин атриовентрикулярной блокады следующим этапом пациентке будет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имплантация постоянного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медикаментозная терапия атриовентрикулярной блокады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восстановление нормального АВ-проведения методом чреспищеводной электрокардиостимуляции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имплантация петлевого регистратора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имплантация постоянного ЭКС</w:t>
      </w:r>
    </w:p>
    <w:p>
      <w:pPr>
        <w:spacing w:after="58"/>
      </w:pPr>
      <w:r>
        <w:rPr>
          <w:b w:val="0"/>
          <w:i w:val="0"/>
        </w:rPr>
        <w:t>Рекомендуется имплантация ЭКС больным с ПЖБ второй степени вне зависимости от типа или уровня блокады в сочетании с брадикардией, сопровождающейся клиническими проявлениями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Предпочтительным режимом постоянной электрокардиостимуляции у данной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бивентрикулярная ресинхронизирующая стимуляция (CRT)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однокамерная желудочковая стимуляция (VVI)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двухкамерная последовательная стимуляция предсердий и желудочков стимуляция (DDD)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однокамерная предсердная стимуляция (AAI)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двухкамерная последовательная стимуляция предсердий и желудочков стимуляция (DDD)</w:t>
      </w:r>
    </w:p>
    <w:p>
      <w:pPr>
        <w:spacing w:after="58"/>
      </w:pPr>
      <w:r>
        <w:rPr>
          <w:b w:val="0"/>
          <w:i w:val="0"/>
        </w:rPr>
        <w:t>Пациентам с приобретенными ПЖБ и синусовым ритмом рекомендуется двухкамерная стимуляция (DDD).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Функция частотной адаптации для данной пациентки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абсолютно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будет показана при наличии сопутствующей хронотропной некомпетентности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будет показана при наличии сопутствующей блокады ножек пучка Гиса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абсолютна не показана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будет показана при наличии сопутствующей хронотропной некомпетентности</w:t>
      </w:r>
    </w:p>
    <w:p>
      <w:pPr>
        <w:spacing w:after="58"/>
      </w:pPr>
      <w:r>
        <w:rPr>
          <w:b w:val="0"/>
          <w:i w:val="0"/>
        </w:rPr>
        <w:t>Пациентам с приобретенными ПЖБ и синусовым ритмом рекомендуется двухкамерная стимуляция (DDD) с использованием частотно-адаптивной функции (DDDR) при наличии хронотропной недостаточности СУ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частым осложнением при проведении имплантации ЭКС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дислокация эндокардиального электрода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пневмоторакс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интраоперационный 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гемоперикард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дислокация эндокардиального электрода</w:t>
      </w:r>
    </w:p>
    <w:p>
      <w:pPr>
        <w:spacing w:after="58"/>
      </w:pPr>
      <w:r>
        <w:rPr>
          <w:b w:val="0"/>
          <w:i w:val="0"/>
        </w:rPr>
        <w:t>Наиболее частыми осложнениями являются: дислокация и перелом электрода, а также осложнения, связанные с проникновением инфекции в ложе и сосудистое русло.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Клинические рекомендации Всероссийского научного общества специалистов по клинической электрофизиологии, аритмологии и кардиостимуляции (ВНОА). Клинические рекомендации по проведению электрофизиологических исследований, катетерной абляции и применению имплантируемых антиаритмических устройств. 2017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Хронотропным индексом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разница между предсказанной по возрасту максимальной ЧСС и ЧСС покоя, умноженная на 100%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отношение разности между пиковой ЧСС и ЧСС покоя к разности между предсказанной по возрасту максимальной ЧСС и ЧСС покоя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невозможность достижения субмаксимальной ЧСС при проведении пробы с физической нагрузкой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разница между предсказанной по возрасту максимальной ЧСС и пиковой ЧСС на максимуме нагрузки, умноженная на 100%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отношение разности между пиковой ЧСС и ЧСС покоя к разности между предсказанной по возрасту максимальной ЧСС и ЧСС покоя</w:t>
      </w:r>
    </w:p>
    <w:p>
      <w:pPr>
        <w:spacing w:after="58"/>
      </w:pPr>
      <w:r>
        <w:rPr>
          <w:b w:val="0"/>
          <w:i w:val="0"/>
        </w:rPr>
        <w:t>Для диагностики хронотропной несостоятельности определяют так называемый хронотропный индекс, который вычисляют по результатам пробы с физической нагрузкой (ПФН) по протоколу максимальной по переносимости, лимитированной симптомами физической нагрузки. Он представляет собой отношение разности между пиковой ЧСС на максимуме нагрузки и ЧСС покоя (хронотропный ответ) к разности между предсказанной по возрасту максимальной ЧСС, вычисляемой по формуле (220 – возраст) (имп/мин) и ЧСС покоя (хронотропный резерв). Полагают, что в норме величина хронотропного индекса ≥80%. Изучение хронотропной функции у больных с дисфункцией синусового узла оказывается крайне ценным в связи с выбором частотно-адаптивной функции ЭКС, планируемого для имплантации.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Последующие контрольные визиты по плановому программированию ЭКС должны проводиться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ежемесячно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дважды в первые 6 месяцев, затем каждые 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год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дважды в первые 6 месяцев, затем каждые 6 месяцев</w:t>
      </w:r>
    </w:p>
    <w:p>
      <w:pPr>
        <w:spacing w:after="58"/>
      </w:pPr>
      <w:r>
        <w:rPr>
          <w:b w:val="0"/>
          <w:i w:val="0"/>
        </w:rPr>
        <w:t>Пациенты с имплантированным однокамерным ЭКС должны быть осмотрены дважды в течение полугода после имплантации и затем ежегодно; пациенты с двухкамерными ЭКС – дважды в первые 6 месяцев, затем каждые полгода.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Дальнейшая реабилитация пациентам после имплантации ЭКС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в санаториях федерального значения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 в местных санаториях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показана в условиях дневного стационара по месту жительства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 показана</w:t>
      </w:r>
    </w:p>
    <w:p>
      <w:pPr>
        <w:spacing w:after="58"/>
      </w:pPr>
      <w:r>
        <w:rPr>
          <w:b w:val="0"/>
          <w:i w:val="0"/>
        </w:rPr>
        <w:t>Пациенты с имплантированными ЭКС в реабилитации не нуждаются.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Клинические рекомендации Минздрава России. Брадиаритмии и нарушения проводимости, 2025 г.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Сердечно-сосудистая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157_24/" TargetMode="External"/><Relationship Id="rId21" Type="http://schemas.openxmlformats.org/officeDocument/2006/relationships/hyperlink" Target="https://library.mededtech.ru/rest/documents/KP157_24/#paragraph_bovkv7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157_24/#list_item_ktmr44" TargetMode="External"/><Relationship Id="rId24" Type="http://schemas.openxmlformats.org/officeDocument/2006/relationships/hyperlink" Target="https://library.mededtech.ru/rest/documents/KP157_24/#list_item_e6chi4" TargetMode="External"/><Relationship Id="rId25" Type="http://schemas.openxmlformats.org/officeDocument/2006/relationships/hyperlink" Target="https://library.mededtech.ru/rest/documents/KP157_24/#list_item_658dpj" TargetMode="External"/><Relationship Id="rId26" Type="http://schemas.openxmlformats.org/officeDocument/2006/relationships/hyperlink" Target="https://library.mededtech.ru/rest/documents/KP157_24/#list_item_1vucaa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KP157_24/#list_item_4bmijn" TargetMode="External"/><Relationship Id="rId29" Type="http://schemas.openxmlformats.org/officeDocument/2006/relationships/hyperlink" Target="https://library.mededtech.ru/rest/documents/KP157_24/#list_item_irccmn" TargetMode="External"/><Relationship Id="rId30" Type="http://schemas.openxmlformats.org/officeDocument/2006/relationships/hyperlink" Target="https://library.mededtech.ru/rest/documents/KP157_24/index.html#list_item_o2bahk" TargetMode="External"/><Relationship Id="rId31" Type="http://schemas.openxmlformats.org/officeDocument/2006/relationships/hyperlink" Target="https://library.mededtech.ru/rest/documents/KP157_24/index.html#list_item_mva4au" TargetMode="External"/><Relationship Id="rId32" Type="http://schemas.openxmlformats.org/officeDocument/2006/relationships/image" Target="media/image7.png"/><Relationship Id="rId33" Type="http://schemas.openxmlformats.org/officeDocument/2006/relationships/image" Target="media/image8.png"/><Relationship Id="rId34" Type="http://schemas.openxmlformats.org/officeDocument/2006/relationships/hyperlink" Target="https://library.mededtech.ru/rest/documents/KP160_2/" TargetMode="External"/><Relationship Id="rId35" Type="http://schemas.openxmlformats.org/officeDocument/2006/relationships/hyperlink" Target="https://library.mededtech.ru/rest/documents/KP160_2/#list_item_jg080i" TargetMode="External"/><Relationship Id="rId36" Type="http://schemas.openxmlformats.org/officeDocument/2006/relationships/hyperlink" Target="https://library.mededtech.ru/rest/documents/KP153_2/" TargetMode="External"/><Relationship Id="rId37" Type="http://schemas.openxmlformats.org/officeDocument/2006/relationships/hyperlink" Target="https://library.mededtech.ru/rest/documents/KP153_2/#list_item_3tpgin" TargetMode="External"/><Relationship Id="rId38" Type="http://schemas.openxmlformats.org/officeDocument/2006/relationships/image" Target="media/image9.png"/><Relationship Id="rId39" Type="http://schemas.openxmlformats.org/officeDocument/2006/relationships/hyperlink" Target="https://library.mededtech.ru/rest/documents/KP160_2/#list_item_fu9i27" TargetMode="External"/><Relationship Id="rId40" Type="http://schemas.openxmlformats.org/officeDocument/2006/relationships/hyperlink" Target="https://library.mededtech.ru/rest/documents/KP160_2/#list_item_ebs383" TargetMode="External"/><Relationship Id="rId41" Type="http://schemas.openxmlformats.org/officeDocument/2006/relationships/hyperlink" Target="https://library.mededtech.ru/rest/documents/KP160_2/#list_item_fcdce1" TargetMode="External"/><Relationship Id="rId42" Type="http://schemas.openxmlformats.org/officeDocument/2006/relationships/hyperlink" Target="https://library.mededtech.ru/rest/documents/KP160_2/#paragraph_loaei5" TargetMode="External"/><Relationship Id="rId43" Type="http://schemas.openxmlformats.org/officeDocument/2006/relationships/hyperlink" Target="https://library.mededtech.ru/rest/documents/KP160_2/#list_item_olue6c" TargetMode="External"/><Relationship Id="rId44" Type="http://schemas.openxmlformats.org/officeDocument/2006/relationships/hyperlink" Target="https://library.mededtech.ru/rest/documents/KP160_2/#list_item_5jt2sp" TargetMode="External"/><Relationship Id="rId45" Type="http://schemas.openxmlformats.org/officeDocument/2006/relationships/hyperlink" Target="https://library.mededtech.ru/rest/documents/KP160_2/#list_item_q5g252" TargetMode="External"/><Relationship Id="rId46" Type="http://schemas.openxmlformats.org/officeDocument/2006/relationships/hyperlink" Target="https://library.mededtech.ru/rest/documents/KP160_2/#list_item_q817pc" TargetMode="External"/><Relationship Id="rId47" Type="http://schemas.openxmlformats.org/officeDocument/2006/relationships/hyperlink" Target="https://library.mededtech.ru/rest/documents/KP160_2/#paragraph_8qa5b1" TargetMode="External"/><Relationship Id="rId48" Type="http://schemas.openxmlformats.org/officeDocument/2006/relationships/hyperlink" Target="https://library.mededtech.ru/rest/documents/cd57f453/" TargetMode="External"/><Relationship Id="rId49" Type="http://schemas.openxmlformats.org/officeDocument/2006/relationships/hyperlink" Target="https://library.mededtech.ru/rest/documents/cd57f453/?anchor=paragraph_5drt0n#paragraph_5drt0n" TargetMode="External"/><Relationship Id="rId50" Type="http://schemas.openxmlformats.org/officeDocument/2006/relationships/hyperlink" Target="https://library.mededtech.ru/rest/documents/KP160_2/index.html#paragraph_fu83i9" TargetMode="External"/><Relationship Id="rId51" Type="http://schemas.openxmlformats.org/officeDocument/2006/relationships/hyperlink" Target="https://library.mededtech.ru/rest/documents/KP160_2/index.html#list_item_skcg1m" TargetMode="External"/><Relationship Id="rId52" Type="http://schemas.openxmlformats.org/officeDocument/2006/relationships/hyperlink" Target="https://library.mededtech.ru/rest/documents/KP160_2/index.html#paragraph_p25k3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